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rPr>
          <w:rFonts w:hint="eastAsia"/>
        </w:rPr>
        <w:t>様式５</w:t>
      </w:r>
    </w:p>
    <w:p>
      <w:pPr>
        <w:jc w:val="center"/>
      </w:pPr>
      <w:r>
        <w:rPr>
          <w:rFonts w:hint="eastAsia"/>
        </w:rPr>
        <w:t>製造販売後調査実施契約書</w:t>
      </w:r>
    </w:p>
    <w:p>
      <w:pPr>
        <w:jc w:val="center"/>
      </w:pPr>
      <w:r>
        <w:rPr>
          <w:rFonts w:hint="eastAsia"/>
        </w:rPr>
        <w:t>（特定使用成績調査）</w:t>
      </w:r>
    </w:p>
    <w:p>
      <w:r>
        <w:rPr>
          <w:rFonts w:hint="eastAsia"/>
        </w:rPr>
        <w:t>京都第一赤十字病院　　　院長　　大辻　英吾　　（以下「甲」という。）と</w:t>
      </w:r>
    </w:p>
    <w:p>
      <w:r>
        <w:rPr>
          <w:rFonts w:hint="eastAsia"/>
        </w:rPr>
        <w:t>依頼者</w:t>
      </w:r>
      <w:r>
        <w:rPr>
          <w:rFonts w:hint="eastAsia"/>
          <w:u w:val="single"/>
        </w:rPr>
        <w:t>　　　　　　　　　　　　　　　　　　</w:t>
      </w:r>
      <w:r>
        <w:rPr>
          <w:rFonts w:hint="eastAsia"/>
        </w:rPr>
        <w:t>（以下「乙」という。）とは、乙の医薬品・医療機器（以下「医薬品等」という。）にかかる特定使用成績調査の実施に関し、以下のとおり契約を締結する。</w:t>
      </w:r>
    </w:p>
    <w:p>
      <w:r>
        <w:rPr>
          <w:rFonts w:hint="eastAsia"/>
        </w:rPr>
        <w:t>第１条　乙は、下記の特定使用成績調査（以下「本調査」という。）を甲に委託し、甲はこれを受託して実施する。</w:t>
      </w:r>
    </w:p>
    <w:p>
      <w:r>
        <w:rPr>
          <w:rFonts w:hint="eastAsia"/>
        </w:rPr>
        <w:t>　　　　（</w:t>
      </w:r>
      <w:r>
        <w:t xml:space="preserve">1)  </w:t>
      </w:r>
      <w:r>
        <w:rPr>
          <w:rFonts w:hint="eastAsia"/>
        </w:rPr>
        <w:t>承認番号：令和　　　年度　製販　第　　　　　号</w:t>
      </w:r>
    </w:p>
    <w:p>
      <w:r>
        <w:rPr>
          <w:rFonts w:hint="eastAsia"/>
        </w:rPr>
        <w:t>　　　　</w:t>
      </w:r>
      <w:r>
        <w:t xml:space="preserve"> (2)</w:t>
      </w:r>
      <w:r>
        <w:rPr>
          <w:rFonts w:hint="eastAsia"/>
        </w:rPr>
        <w:t>　調査対象医薬品等名</w:t>
      </w:r>
      <w:r>
        <w:rPr>
          <w:rFonts w:hint="eastAsia"/>
          <w:u w:val="single"/>
        </w:rPr>
        <w:t>：　　　　　　　（</w:t>
      </w:r>
      <w:r>
        <w:rPr>
          <w:rFonts w:hint="eastAsia"/>
        </w:rPr>
        <w:t>以下「本医薬品等」という。）</w:t>
      </w:r>
    </w:p>
    <w:p>
      <w:r>
        <w:rPr>
          <w:rFonts w:hint="eastAsia"/>
        </w:rPr>
        <w:t>　　　　</w:t>
      </w:r>
      <w:r>
        <w:t xml:space="preserve"> (3)  </w:t>
      </w:r>
      <w:r>
        <w:rPr>
          <w:rFonts w:hint="eastAsia"/>
        </w:rPr>
        <w:t>目的・内容</w:t>
      </w:r>
      <w:r>
        <w:rPr>
          <w:rFonts w:hint="eastAsia"/>
          <w:u w:val="single"/>
        </w:rPr>
        <w:t>：　　　　　　　　　　　　　　　　　　　　　　　</w:t>
      </w:r>
    </w:p>
    <w:p>
      <w:r>
        <w:t xml:space="preserve">         (4)  </w:t>
      </w:r>
      <w:r>
        <w:rPr>
          <w:rFonts w:hint="eastAsia"/>
        </w:rPr>
        <w:t>調査予定症例数：</w:t>
      </w:r>
      <w:r>
        <w:rPr>
          <w:rFonts w:hint="eastAsia"/>
          <w:u w:val="single"/>
        </w:rPr>
        <w:t>　　　　</w:t>
      </w:r>
      <w:r>
        <w:rPr>
          <w:rFonts w:hint="eastAsia"/>
        </w:rPr>
        <w:t>症例（1症例あたり　　　調査票提出予定）</w:t>
      </w:r>
    </w:p>
    <w:p>
      <w:r>
        <w:rPr>
          <w:rFonts w:hint="eastAsia"/>
        </w:rPr>
        <w:t>　　　　（</w:t>
      </w:r>
      <w:r>
        <w:t xml:space="preserve">5)  </w:t>
      </w:r>
      <w:r>
        <w:rPr>
          <w:rFonts w:hint="eastAsia"/>
        </w:rPr>
        <w:t>調査担当医師名：</w:t>
      </w:r>
      <w:r>
        <w:rPr>
          <w:rFonts w:hint="eastAsia"/>
          <w:u w:val="single"/>
        </w:rPr>
        <w:t>　　　　　　　　　　　　　　　　　　　　</w:t>
      </w:r>
    </w:p>
    <w:p>
      <w:r>
        <w:rPr>
          <w:rFonts w:hint="eastAsia"/>
        </w:rPr>
        <w:t>　　　　　　　　　　　　　　　</w:t>
      </w:r>
      <w:r>
        <w:rPr>
          <w:rFonts w:hint="eastAsia"/>
          <w:u w:val="single"/>
        </w:rPr>
        <w:t>　　　　　　　　　　　　　　　　　　　　</w:t>
      </w:r>
    </w:p>
    <w:p>
      <w:r>
        <w:rPr>
          <w:rFonts w:hint="eastAsia"/>
        </w:rPr>
        <w:t>　　　　</w:t>
      </w:r>
      <w:r>
        <w:t xml:space="preserve"> (6)  </w:t>
      </w:r>
      <w:r>
        <w:rPr>
          <w:rFonts w:hint="eastAsia"/>
        </w:rPr>
        <w:t>調査期間　：契約締結日～令和</w:t>
      </w:r>
      <w:r>
        <w:rPr>
          <w:rFonts w:hint="eastAsia"/>
          <w:u w:val="single"/>
        </w:rPr>
        <w:t>　　　</w:t>
      </w:r>
      <w:r>
        <w:rPr>
          <w:rFonts w:hint="eastAsia"/>
        </w:rPr>
        <w:t>年</w:t>
      </w:r>
      <w:r>
        <w:rPr>
          <w:rFonts w:hint="eastAsia"/>
          <w:u w:val="single"/>
        </w:rPr>
        <w:t>　　　</w:t>
      </w:r>
      <w:r>
        <w:rPr>
          <w:rFonts w:hint="eastAsia"/>
        </w:rPr>
        <w:t>月　</w:t>
      </w:r>
      <w:r>
        <w:rPr>
          <w:rFonts w:hint="eastAsia"/>
          <w:u w:val="single"/>
        </w:rPr>
        <w:t>　　</w:t>
      </w:r>
      <w:r>
        <w:rPr>
          <w:rFonts w:hint="eastAsia"/>
        </w:rPr>
        <w:t>日</w:t>
      </w:r>
    </w:p>
    <w:p>
      <w:r>
        <w:t xml:space="preserve">       </w:t>
      </w:r>
      <w:r>
        <w:rPr>
          <w:rFonts w:hint="eastAsia"/>
        </w:rPr>
        <w:t>　</w:t>
      </w:r>
      <w:r>
        <w:t xml:space="preserve">(7)  </w:t>
      </w:r>
      <w:r>
        <w:rPr>
          <w:rFonts w:hint="eastAsia"/>
        </w:rPr>
        <w:t>調査方法　：調査票添付の「実施要綱」による。</w:t>
      </w:r>
    </w:p>
    <w:p>
      <w:r>
        <w:rPr>
          <w:rFonts w:hint="eastAsia"/>
        </w:rPr>
        <w:t>　　２　甲及び乙は、本調査の実施にあたり、「医薬品、医療機器等の品質、有効性及び安全性の確保等に関する法律」及び「医薬品の製造販売後の調査及び試験の実施の基準に関する省令」または「医療機器の製造販売後の調査及び試験の実施の基準に関する省令」その他の関係法令通達を遵守するものとする。</w:t>
      </w:r>
    </w:p>
    <w:p>
      <w:r>
        <w:rPr>
          <w:rFonts w:hint="eastAsia"/>
        </w:rPr>
        <w:t>第２条　調査費は、１調査票当たり</w:t>
      </w:r>
      <w:r>
        <w:rPr>
          <w:rFonts w:hint="eastAsia"/>
          <w:u w:val="single"/>
        </w:rPr>
        <w:t>　　　　　　　　</w:t>
      </w:r>
      <w:r>
        <w:rPr>
          <w:rFonts w:hint="eastAsia"/>
        </w:rPr>
        <w:t>円（消費税を含む）とし、乙は、会計年度毎に次条により報告を受けた調査票数を乗じた金額を、本調査の調査票を受領後、甲の指定する受取人に受取人が指定する方法で支払う。</w:t>
      </w:r>
    </w:p>
    <w:p>
      <w:r>
        <w:rPr>
          <w:rFonts w:hint="eastAsia"/>
        </w:rPr>
        <w:t>第３条　甲は本調査結果を、調査期間内に、所定の事項を記入した調査票により乙に報告する。</w:t>
      </w:r>
    </w:p>
    <w:p>
      <w:r>
        <w:rPr>
          <w:rFonts w:hint="eastAsia"/>
        </w:rPr>
        <w:t>第４条　乙は、本調査結果を厚生労働省への報告、本医薬品等の再審査申請等の資料として利用するほか、適正使用情報として利用することができる。</w:t>
      </w:r>
    </w:p>
    <w:p>
      <w:pPr>
        <w:numPr>
          <w:ilvl w:val="0"/>
          <w:numId w:val="1"/>
        </w:numPr>
      </w:pPr>
      <w:r>
        <w:rPr>
          <w:rFonts w:hint="eastAsia"/>
        </w:rPr>
        <w:t>甲が、本調査結果を公表するときは、事前に乙と協議するものとする。</w:t>
      </w:r>
    </w:p>
    <w:p>
      <w:pPr>
        <w:numPr>
          <w:ilvl w:val="0"/>
          <w:numId w:val="1"/>
        </w:numPr>
      </w:pPr>
      <w:r>
        <w:rPr>
          <w:rFonts w:hint="eastAsia"/>
        </w:rPr>
        <w:t>乙は、本調査を一方的に破棄し、または中止することはできない。</w:t>
      </w:r>
    </w:p>
    <w:p>
      <w:r>
        <w:rPr>
          <w:rFonts w:hint="eastAsia"/>
        </w:rPr>
        <w:t>第７条　本調査の期間中において、調査内容・調査期間等の変更が必要になった場合、甲・乙協議のうえ契約の変更を行う。本調査を中止したときも、これに準ずる。</w:t>
      </w:r>
    </w:p>
    <w:p>
      <w:r>
        <w:rPr>
          <w:rFonts w:hint="eastAsia"/>
        </w:rPr>
        <w:t>第８条　調査費により取得した設備、備品等は甲に帰属する。</w:t>
      </w:r>
    </w:p>
    <w:p>
      <w:r>
        <w:rPr>
          <w:rFonts w:hint="eastAsia"/>
        </w:rPr>
        <w:t>第９条　本調査に起因して、甲が損害を被り、または、第三者に損害を及ぼしたときは、乙は甲の損害を賠償する。ただし、その損害が甲の故意または、重大な過失による場合はこの限りではない。</w:t>
      </w:r>
    </w:p>
    <w:p>
      <w:r>
        <w:rPr>
          <w:rFonts w:hint="eastAsia"/>
        </w:rPr>
        <w:t>第</w:t>
      </w:r>
      <w:r>
        <w:t>10</w:t>
      </w:r>
      <w:r>
        <w:rPr>
          <w:rFonts w:hint="eastAsia"/>
        </w:rPr>
        <w:t>条　甲は、第２条に基づく乙による調査費の支払いに関して、日本製薬工業協会の「企業活動と医療機関等の関係の透明性ガイドライン」またはそれに準じて定める指針（いずれもその時点での最新版による。）に従い、乙が個人情報を含む甲の情報（施設名、科名、役職名、氏名、件数、支払い額等）を公開することに同意する。</w:t>
      </w:r>
    </w:p>
    <w:p>
      <w:r>
        <w:rPr>
          <w:rFonts w:hint="eastAsia"/>
        </w:rPr>
        <w:t>第11条　甲及び乙（いずれも役員や実質的な経営関与者を含む）は現在及び将来にわたり、次の各号のいずれにも違反しないことを、表明し保証する。</w:t>
      </w:r>
    </w:p>
    <w:p>
      <w:r>
        <w:rPr>
          <w:rFonts w:hint="eastAsia"/>
        </w:rPr>
        <w:t>（1）暴力団、暴力団員、暴力団関係企業、総会屋、特殊知能暴力集団、その他これらに準ずる者（以下総称して「反社会的勢力」という）に該当しないこと。</w:t>
      </w:r>
    </w:p>
    <w:p>
      <w:r>
        <w:rPr>
          <w:rFonts w:hint="eastAsia"/>
        </w:rPr>
        <w:t>（2）反社会的勢力が形式的・実質的に経営に関与していないこと。</w:t>
      </w:r>
    </w:p>
    <w:p>
      <w:r>
        <w:rPr>
          <w:rFonts w:hint="eastAsia"/>
        </w:rPr>
        <w:t>（3）反社会的勢力へ資金提供や便宜供与したり、自己若しくは第三者の不正の利益を図るため、又は第三者を加害するために反社会的勢力を利用するなど、反社会的勢力と社会的に非難される関係を有していないこと。</w:t>
      </w:r>
    </w:p>
    <w:p>
      <w:r>
        <w:rPr>
          <w:rFonts w:hint="eastAsia"/>
        </w:rPr>
        <w:t>（4）暴力的要求により他人の信用を毀損したり、業務を妨害していないこと。</w:t>
      </w:r>
    </w:p>
    <w:p>
      <w:r>
        <w:rPr>
          <w:rFonts w:hint="eastAsia"/>
        </w:rPr>
        <w:t>２　甲又は乙は、その下請け先・委託先等が前項各号に該当することが判明した場合は、相手方の催告後、相当期間内に、当該下請け先・委託先等との契約の解除その他必要な措置を講じなければならない。</w:t>
      </w:r>
    </w:p>
    <w:p>
      <w:r>
        <w:rPr>
          <w:rFonts w:hint="eastAsia"/>
        </w:rPr>
        <w:t>３　甲又は乙は、相手方が前各項に違反したときは、催告なく、直ちに原契約及び甲乙間のすべての契約を解除できるとともに、被った損害の賠償を請求できる。また、解除者は解除によりほかの当事者に生じた損害を賠償する責を負わない。</w:t>
      </w:r>
    </w:p>
    <w:p/>
    <w:p>
      <w:r>
        <w:rPr>
          <w:rFonts w:hint="eastAsia"/>
        </w:rPr>
        <w:t>第12条　この契約に定めのない事項またはこの契約に条項に疑義が生じたときは、甲・乙協議して定めるものとする。</w:t>
      </w:r>
    </w:p>
    <w:p/>
    <w:p>
      <w:r>
        <w:rPr>
          <w:rFonts w:hint="eastAsia"/>
        </w:rPr>
        <w:t>上記契約の締結を称するため、本書2通を作成し、甲乙記名押印のうえ、各1通を保有するものとする。</w:t>
      </w:r>
    </w:p>
    <w:p>
      <w:r>
        <w:rPr>
          <w:rFonts w:hint="eastAsia"/>
        </w:rPr>
        <w:t>令和　　　年　　月　　日</w:t>
      </w:r>
    </w:p>
    <w:p>
      <w:r>
        <w:rPr>
          <w:rFonts w:hint="eastAsia"/>
        </w:rPr>
        <w:t>　　　　　　　　　　　              （甲）　住所　　京都市東山区本町１５丁目７４９</w:t>
      </w:r>
    </w:p>
    <w:p>
      <w:r>
        <w:rPr>
          <w:rFonts w:hint="eastAsia"/>
        </w:rPr>
        <w:t>　　　　　　　　　　　　　　　　　　　              京都第一赤十字病院</w:t>
      </w:r>
    </w:p>
    <w:p>
      <w:pPr>
        <w:ind w:firstLine="5460" w:firstLineChars="2600"/>
      </w:pPr>
      <w:r>
        <w:rPr>
          <w:rFonts w:hint="eastAsia"/>
        </w:rPr>
        <w:t>院長　　大辻　英吾　　　印</w:t>
      </w:r>
    </w:p>
    <w:p>
      <w:r>
        <w:rPr>
          <w:rFonts w:hint="eastAsia"/>
        </w:rPr>
        <w:t>　　　　　　　　　　　              （乙）　住所</w:t>
      </w:r>
    </w:p>
    <w:p>
      <w:r>
        <w:t xml:space="preserve">        </w:t>
      </w:r>
      <w:r>
        <w:rPr>
          <w:rFonts w:hint="eastAsia"/>
        </w:rPr>
        <w:t>　　　　　　　　　　　　　　                会社名</w:t>
      </w:r>
    </w:p>
    <w:p>
      <w:r>
        <w:rPr>
          <w:rFonts w:hint="eastAsia"/>
        </w:rPr>
        <w:t>　　　　　　　　　　　　　　　　　　                代表者名　　　　　　　　　印</w:t>
      </w:r>
    </w:p>
    <w:p/>
    <w:p/>
    <w:p/>
    <w:p/>
    <w:p/>
    <w:p/>
    <w:p/>
    <w:p/>
    <w:p/>
    <w:p/>
    <w:p/>
    <w:p/>
    <w:p/>
    <w:p/>
    <w:p/>
    <w:p/>
    <w:p/>
    <w:p/>
    <w:p/>
    <w:p/>
    <w:p/>
    <w:p/>
    <w:p/>
    <w:p/>
    <w:p/>
    <w:p/>
    <w:p/>
    <w:p>
      <w:r>
        <w:rPr>
          <w:rFonts w:hint="eastAsia"/>
        </w:rPr>
        <w:t>様式７（依頼者　</w:t>
      </w:r>
      <w:r>
        <w:rPr>
          <w:rFonts w:hint="eastAsia" w:ascii="Segoe UI Symbol" w:hAnsi="Segoe UI Symbol" w:cs="Segoe UI Symbol"/>
        </w:rPr>
        <w:t>　</w:t>
      </w:r>
      <w:r>
        <w:rPr>
          <w:rFonts w:hint="eastAsia"/>
        </w:rPr>
        <w:t>院長）</w:t>
      </w:r>
    </w:p>
    <w:sectPr>
      <w:footerReference r:id="rId5" w:type="first"/>
      <w:footerReference r:id="rId4" w:type="default"/>
      <w:pgSz w:w="11906" w:h="16838"/>
      <w:pgMar w:top="1440" w:right="1080" w:bottom="1440" w:left="1080" w:header="1134" w:footer="510" w:gutter="0"/>
      <w:pgNumType w:start="1"/>
      <w:cols w:space="720" w:num="1"/>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ＭＳ 明朝">
    <w:panose1 w:val="02020609040205080304"/>
    <w:charset w:val="80"/>
    <w:family w:val="auto"/>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entury">
    <w:altName w:val="Times New Roman"/>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黑体">
    <w:altName w:val="SimSun"/>
    <w:panose1 w:val="02010600030101010101"/>
    <w:charset w:val="86"/>
    <w:family w:val="auto"/>
    <w:pitch w:val="default"/>
    <w:sig w:usb0="00000001" w:usb1="080E0000" w:usb2="00000010" w:usb3="00000000" w:csb0="00040000" w:csb1="00000000"/>
  </w:font>
  <w:font w:name="SimHei">
    <w:altName w:val="SimSun"/>
    <w:panose1 w:val="02010600030101010101"/>
    <w:charset w:val="86"/>
    <w:family w:val="auto"/>
    <w:pitch w:val="default"/>
    <w:sig w:usb0="00000001" w:usb1="080E0000" w:usb2="00000000" w:usb3="00000000" w:csb0="00040000" w:csb1="00000000"/>
  </w:font>
  <w:font w:name="FZShuTi">
    <w:altName w:val="SimSun"/>
    <w:panose1 w:val="02010601030101010101"/>
    <w:charset w:val="86"/>
    <w:family w:val="auto"/>
    <w:pitch w:val="default"/>
    <w:sig w:usb0="00000003" w:usb1="080E0000" w:usb2="00000000" w:usb3="00000000" w:csb0="00040000" w:csb1="00000000"/>
  </w:font>
  <w:font w:name="Segoe UI Symbol">
    <w:panose1 w:val="020B0502040204020203"/>
    <w:charset w:val="00"/>
    <w:family w:val="auto"/>
    <w:pitch w:val="default"/>
    <w:sig w:usb0="800001E3" w:usb1="1200FFEF" w:usb2="00040000" w:usb3="04000000" w:csb0="00000001" w:csb1="4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rPr>
      <w:t>　　　　　　　　　　　　　　　　　　　　１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21621421">
    <w:nsid w:val="787F7EAD"/>
    <w:multiLevelType w:val="singleLevel"/>
    <w:tmpl w:val="787F7EAD"/>
    <w:lvl w:ilvl="0" w:tentative="1">
      <w:start w:val="5"/>
      <w:numFmt w:val="decimalFullWidth"/>
      <w:lvlText w:val="第%1条"/>
      <w:lvlJc w:val="left"/>
      <w:pPr>
        <w:tabs>
          <w:tab w:val="left" w:pos="840"/>
        </w:tabs>
        <w:ind w:left="840" w:hanging="840"/>
      </w:pPr>
      <w:rPr>
        <w:rFonts w:hint="eastAsia"/>
      </w:rPr>
    </w:lvl>
  </w:abstractNum>
  <w:num w:numId="1">
    <w:abstractNumId w:val="20216214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851"/>
  <w:drawingGridHorizontalSpacing w:val="120"/>
  <w:drawingGridVerticalSpacing w:val="120"/>
  <w:displayHorizontalDrawingGridEvery w:val="0"/>
  <w:displayVerticalDrawingGridEvery w:val="3"/>
  <w:doNotShadeFormData w:val="1"/>
  <w:characterSpacingControl w:val="compressPunctuation"/>
  <w:compat>
    <w:spaceForUL/>
    <w:balanceSingleByteDoubleByteWidth/>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Century"/>
        <w:lang w:val="en-US" w:eastAsia="zh-CN" w:bidi="ar-SA"/>
      </w:rPr>
    </w:rPrDefault>
  </w:docDefaults>
  <w:style w:type="paragraph" w:default="1" w:styleId="1">
    <w:name w:val="Normal"/>
    <w:pPr>
      <w:widowControl w:val="0"/>
      <w:wordWrap w:val="0"/>
      <w:autoSpaceDE w:val="0"/>
      <w:autoSpaceDN w:val="0"/>
      <w:adjustRightInd w:val="0"/>
      <w:spacing w:line="300" w:lineRule="atLeast"/>
      <w:jc w:val="both"/>
    </w:pPr>
    <w:rPr>
      <w:rFonts w:ascii="ＭＳ 明朝" w:hAnsi="Times New Roman" w:eastAsia="ＭＳ 明朝" w:cs="Times New Roman"/>
      <w:sz w:val="21"/>
      <w:lang w:val="en-US" w:eastAsia="ja-JP" w:bidi="ar-SA"/>
    </w:rPr>
  </w:style>
  <w:style w:type="character" w:default="1" w:styleId="5">
    <w:name w:val="Default Paragraph Font"/>
  </w:style>
  <w:style w:type="paragraph" w:styleId="2">
    <w:name w:val="footer"/>
    <w:basedOn w:val="1"/>
    <w:link w:val="13"/>
    <w:pPr>
      <w:tabs>
        <w:tab w:val="center" w:pos="4536"/>
        <w:tab w:val="right" w:pos="9072"/>
      </w:tabs>
      <w:spacing w:line="360" w:lineRule="atLeast"/>
    </w:pPr>
    <w:rPr>
      <w:rFonts w:ascii="ＭＳ 明朝" w:hAnsi="Times New Roman"/>
      <w:sz w:val="21"/>
    </w:rPr>
  </w:style>
  <w:style w:type="paragraph" w:styleId="3">
    <w:name w:val="annotation text"/>
    <w:basedOn w:val="1"/>
    <w:link w:val="11"/>
    <w:pPr>
      <w:jc w:val="left"/>
    </w:pPr>
    <w:rPr>
      <w:rFonts w:ascii="ＭＳ 明朝" w:hAnsi="Times New Roman"/>
      <w:sz w:val="21"/>
    </w:rPr>
  </w:style>
  <w:style w:type="paragraph" w:styleId="4">
    <w:name w:val="header"/>
    <w:basedOn w:val="1"/>
    <w:pPr>
      <w:tabs>
        <w:tab w:val="center" w:pos="4536"/>
        <w:tab w:val="right" w:pos="9072"/>
      </w:tabs>
      <w:spacing w:line="360" w:lineRule="atLeast"/>
    </w:pPr>
  </w:style>
  <w:style w:type="paragraph" w:customStyle="1" w:styleId="6">
    <w:name w:val="吹き出し Char Char"/>
    <w:basedOn w:val="1"/>
    <w:link w:val="9"/>
    <w:pPr>
      <w:spacing w:line="240" w:lineRule="auto"/>
    </w:pPr>
    <w:rPr>
      <w:rFonts w:ascii="Arial" w:hAnsi="Arial" w:eastAsia="ＭＳ ゴシック" w:cs="Times New Roman"/>
      <w:sz w:val="18"/>
      <w:szCs w:val="18"/>
    </w:rPr>
  </w:style>
  <w:style w:type="paragraph" w:customStyle="1" w:styleId="7">
    <w:name w:val="Revision"/>
    <w:rPr>
      <w:rFonts w:ascii="ＭＳ 明朝" w:hAnsi="Times New Roman"/>
      <w:sz w:val="21"/>
    </w:rPr>
  </w:style>
  <w:style w:type="paragraph" w:customStyle="1" w:styleId="8">
    <w:name w:val="annotation subject"/>
    <w:basedOn w:val="3"/>
    <w:next w:val="3"/>
    <w:link w:val="12"/>
    <w:rPr>
      <w:rFonts w:ascii="ＭＳ 明朝" w:hAnsi="Times New Roman"/>
      <w:b/>
      <w:bCs/>
      <w:sz w:val="21"/>
    </w:rPr>
  </w:style>
  <w:style w:type="character" w:customStyle="1" w:styleId="9">
    <w:name w:val="吹き出し (文字)"/>
    <w:link w:val="6"/>
    <w:semiHidden/>
    <w:rPr>
      <w:rFonts w:ascii="Arial" w:hAnsi="Arial" w:eastAsia="ＭＳ ゴシック" w:cs="Times New Roman"/>
      <w:sz w:val="18"/>
      <w:szCs w:val="18"/>
    </w:rPr>
  </w:style>
  <w:style w:type="character" w:customStyle="1" w:styleId="10">
    <w:name w:val="annotation reference"/>
    <w:basedOn w:val="5"/>
    <w:rPr>
      <w:sz w:val="18"/>
      <w:szCs w:val="18"/>
    </w:rPr>
  </w:style>
  <w:style w:type="character" w:customStyle="1" w:styleId="11">
    <w:name w:val="コメント文字列 (文字)"/>
    <w:basedOn w:val="5"/>
    <w:link w:val="3"/>
    <w:semiHidden/>
    <w:rPr>
      <w:rFonts w:ascii="ＭＳ 明朝" w:hAnsi="Times New Roman"/>
      <w:sz w:val="21"/>
    </w:rPr>
  </w:style>
  <w:style w:type="character" w:customStyle="1" w:styleId="12">
    <w:name w:val="コメント内容 (文字)"/>
    <w:basedOn w:val="11"/>
    <w:link w:val="8"/>
    <w:semiHidden/>
    <w:rPr>
      <w:rFonts w:ascii="ＭＳ 明朝" w:hAnsi="Times New Roman"/>
      <w:b/>
      <w:bCs/>
      <w:sz w:val="21"/>
    </w:rPr>
  </w:style>
  <w:style w:type="character" w:customStyle="1" w:styleId="13">
    <w:name w:val="フッター (文字)"/>
    <w:basedOn w:val="5"/>
    <w:link w:val="2"/>
    <w:semiHidden/>
    <w:rPr>
      <w:rFonts w:ascii="ＭＳ 明朝" w:hAnsi="Times New Roman"/>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ＦＭユーザ</Company>
  <Pages>2</Pages>
  <Words>2010</Words>
  <Characters>11462</Characters>
  <Lines>95</Lines>
  <Paragraphs>26</Paragraphs>
  <ScaleCrop>false</ScaleCrop>
  <LinksUpToDate>false</LinksUpToDate>
  <CharactersWithSpaces>0</CharactersWithSpaces>
  <Application>Kingsoft Office_9.1.0.4256_{F1E327BC-269C-435d-A152-05C5408002CA}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2019-06-20T07:48:00Z</dcterms:created>
  <dc:creator>ＦＭＶユーザ</dc:creator>
  <cp:lastModifiedBy>BRIDGEオケジエ</cp:lastModifiedBy>
  <cp:lastPrinted>2019-06-20T04:58:00Z</cp:lastPrinted>
  <dcterms:modified xsi:type="dcterms:W3CDTF">2025-01-08T04:31:29Z</dcterms:modified>
  <dc:title>医薬品等市販後調査実施取扱い規程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